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E38" w:rsidRDefault="00082E38" w:rsidP="00082E38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 xml:space="preserve">Załącznik nr 6 </w:t>
      </w:r>
    </w:p>
    <w:p w:rsidR="00082E38" w:rsidRPr="00082E38" w:rsidRDefault="00082E38" w:rsidP="00082E38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 w:rsidRPr="00082E38">
        <w:rPr>
          <w:rFonts w:ascii="Times New Roman" w:eastAsia="Times New Roman" w:hAnsi="Times New Roman" w:cs="Times New Roman"/>
          <w:lang w:eastAsia="pl-PL"/>
        </w:rPr>
        <w:t xml:space="preserve">do uchwały nr </w:t>
      </w:r>
      <w:r w:rsidRPr="00082E38">
        <w:rPr>
          <w:rFonts w:ascii="Times New Roman" w:eastAsia="Times New Roman" w:hAnsi="Times New Roman" w:cs="Times New Roman"/>
          <w:bCs/>
          <w:lang w:eastAsia="pl-PL"/>
        </w:rPr>
        <w:t>145/10/2022</w:t>
      </w:r>
    </w:p>
    <w:p w:rsidR="00082E38" w:rsidRDefault="00082E38" w:rsidP="00082E38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Komisji Egzaminacyjnej</w:t>
      </w:r>
    </w:p>
    <w:p w:rsidR="00082E38" w:rsidRDefault="00082E38" w:rsidP="00082E38">
      <w:pPr>
        <w:spacing w:after="0" w:line="240" w:lineRule="auto"/>
        <w:ind w:firstLine="11199"/>
        <w:rPr>
          <w:rFonts w:ascii="Times New Roman" w:eastAsia="Times New Roman" w:hAnsi="Times New Roman" w:cs="Times New Roman"/>
          <w:szCs w:val="24"/>
          <w:lang w:eastAsia="pl-PL"/>
        </w:rPr>
      </w:pPr>
      <w:r>
        <w:rPr>
          <w:rFonts w:ascii="Times New Roman" w:eastAsia="Times New Roman" w:hAnsi="Times New Roman" w:cs="Times New Roman"/>
          <w:szCs w:val="24"/>
          <w:lang w:eastAsia="pl-PL"/>
        </w:rPr>
        <w:t>z dnia 21 października 2022 r.</w:t>
      </w:r>
    </w:p>
    <w:p w:rsidR="00082E38" w:rsidRDefault="00082E38" w:rsidP="00082E38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:rsidR="00082E38" w:rsidRPr="008972A1" w:rsidRDefault="00082E38" w:rsidP="00082E38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972A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:rsidR="008972A1" w:rsidRPr="008921AD" w:rsidRDefault="00082E38" w:rsidP="00082E38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8921AD">
        <w:rPr>
          <w:rFonts w:ascii="Times New Roman" w:eastAsia="Times New Roman" w:hAnsi="Times New Roman" w:cs="Times New Roman"/>
          <w:lang w:eastAsia="pl-PL"/>
        </w:rPr>
        <w:t xml:space="preserve">adekwatności zrealizowanego programu przez kandydata z zakresem wiedzy wymaganym przez Komisję Egzaminacyjną </w:t>
      </w:r>
    </w:p>
    <w:p w:rsidR="00082E38" w:rsidRPr="008921AD" w:rsidRDefault="00082E38" w:rsidP="00082E38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  <w:r w:rsidRPr="008921AD">
        <w:rPr>
          <w:rFonts w:ascii="Times New Roman" w:eastAsia="Times New Roman" w:hAnsi="Times New Roman" w:cs="Times New Roman"/>
          <w:lang w:eastAsia="pl-PL"/>
        </w:rPr>
        <w:t>w postępowaniu kwalifikacyjnym</w:t>
      </w:r>
    </w:p>
    <w:p w:rsidR="008972A1" w:rsidRPr="008921AD" w:rsidRDefault="00082E38" w:rsidP="00082E38">
      <w:pPr>
        <w:spacing w:after="0" w:line="240" w:lineRule="auto"/>
        <w:ind w:left="-357"/>
        <w:jc w:val="center"/>
        <w:outlineLvl w:val="0"/>
        <w:rPr>
          <w:rFonts w:ascii="Times New Roman" w:hAnsi="Times New Roman" w:cs="Times New Roman"/>
          <w:bCs/>
          <w:i/>
        </w:rPr>
      </w:pPr>
      <w:r w:rsidRPr="008921AD">
        <w:rPr>
          <w:rFonts w:ascii="Times New Roman" w:eastAsia="Times New Roman" w:hAnsi="Times New Roman" w:cs="Times New Roman"/>
          <w:i/>
          <w:lang w:eastAsia="pl-PL"/>
        </w:rPr>
        <w:t>(na podstawie: Uchwały Nr 1273/30/2017 Krajowej Rady Biegłych Rewidentów z dnia 5 września 2017 r. w sprawie szczegółowego zakresu tematycznego egzaminów w</w:t>
      </w:r>
      <w:r w:rsidR="008972A1" w:rsidRPr="008921AD">
        <w:rPr>
          <w:rFonts w:ascii="Times New Roman" w:eastAsia="Times New Roman" w:hAnsi="Times New Roman" w:cs="Times New Roman"/>
          <w:i/>
          <w:lang w:eastAsia="pl-PL"/>
        </w:rPr>
        <w:t> </w:t>
      </w:r>
      <w:r w:rsidRPr="008921AD">
        <w:rPr>
          <w:rFonts w:ascii="Times New Roman" w:eastAsia="Times New Roman" w:hAnsi="Times New Roman" w:cs="Times New Roman"/>
          <w:i/>
          <w:lang w:eastAsia="pl-PL"/>
        </w:rPr>
        <w:t xml:space="preserve">postępowaniu kwalifikacyjnym na biegłych rewidentów </w:t>
      </w:r>
      <w:r w:rsidRPr="008921AD">
        <w:rPr>
          <w:rFonts w:ascii="Times New Roman" w:hAnsi="Times New Roman" w:cs="Times New Roman"/>
          <w:bCs/>
          <w:i/>
        </w:rPr>
        <w:t xml:space="preserve">zmienionej uchwałą Nr 2336/42/2022 Krajowej Rady Biegłych Rewidentów z dnia  30 sierpnia 2022 r. </w:t>
      </w:r>
    </w:p>
    <w:p w:rsidR="00082E38" w:rsidRPr="008921AD" w:rsidRDefault="00082E38" w:rsidP="00082E38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lang w:eastAsia="pl-PL"/>
        </w:rPr>
      </w:pPr>
      <w:r w:rsidRPr="008921AD">
        <w:rPr>
          <w:rFonts w:ascii="Times New Roman" w:hAnsi="Times New Roman" w:cs="Times New Roman"/>
          <w:bCs/>
        </w:rPr>
        <w:t>w przedmiocie zmiany uchwały w sprawie szczegółowego zakresu tematycznego egzaminów w postępowaniu kwalifikacyjnym na biegłych rewidentów</w:t>
      </w:r>
      <w:r w:rsidRPr="008921AD">
        <w:rPr>
          <w:rFonts w:ascii="Times New Roman" w:eastAsia="Times New Roman" w:hAnsi="Times New Roman" w:cs="Times New Roman"/>
          <w:i/>
          <w:lang w:eastAsia="pl-PL"/>
        </w:rPr>
        <w:t xml:space="preserve">)  </w:t>
      </w:r>
    </w:p>
    <w:p w:rsidR="00E11EBE" w:rsidRPr="0047045D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</w:p>
    <w:p w:rsidR="000953D2" w:rsidRPr="008972A1" w:rsidRDefault="000953D2" w:rsidP="000953D2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897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Finanse i </w:t>
      </w:r>
      <w:r w:rsidR="00A6763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</w:t>
      </w:r>
      <w:r w:rsidRPr="00897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arządzanie </w:t>
      </w:r>
      <w:r w:rsidR="00A67630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f</w:t>
      </w:r>
      <w:bookmarkStart w:id="0" w:name="_GoBack"/>
      <w:bookmarkEnd w:id="0"/>
      <w:r w:rsidRPr="008972A1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inansami</w:t>
      </w:r>
    </w:p>
    <w:p w:rsidR="00E11EBE" w:rsidRDefault="000953D2" w:rsidP="000953D2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 xml:space="preserve"> </w:t>
      </w:r>
      <w:r w:rsidR="00E11EBE"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:rsidR="008972A1" w:rsidRPr="0047045D" w:rsidRDefault="008972A1" w:rsidP="000953D2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11EBE" w:rsidRPr="0047045D" w:rsidTr="007B76A4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:rsidTr="007B76A4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:rsidTr="007B76A4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0953D2" w:rsidTr="007B76A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:rsidR="000953D2" w:rsidRPr="000953D2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953D2">
              <w:rPr>
                <w:rFonts w:ascii="Times New Roman" w:hAnsi="Times New Roman" w:cs="Times New Roman"/>
                <w:b/>
                <w:sz w:val="18"/>
                <w:szCs w:val="18"/>
              </w:rPr>
              <w:t>5.1. Zarządzanie finansami jednostek gospodarczych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t xml:space="preserve">5.1.1.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Kapitały (fundusze) własne jednostek gospodarczych.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5.1.2. Rozliczenia pieniężne gotówkowe i bezgotówkowe, w tym w walutach obcych.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5.1.3. Zasilanie finansowe, analiza i prognozowanie przepływów pieniężnych.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5.1.4. Wycena przepływów pieniężnych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5.1.5. 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lanowanie nakładów kapitałowych, 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analiza i ocena projektu inwestycyjnego, decyzje inwestycyjne w warunkach ryzyka i niepewności.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5.1.6. Długoterminowe decyzje finansowe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5.1.7. Krótkoterminowe decyzje finansowe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5.1.8. Planowanie finansowe: prognozy, zakres, modele.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5.1.9. Zarządzanie ryzykiem w gospoda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rce finansowej przedsiębiorstwa.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5.1.10 Postępowanie restrukturyzacyjne oraz upadłościowe – aspekty finansowe.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953D2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6E0A">
              <w:rPr>
                <w:rFonts w:ascii="Times New Roman" w:hAnsi="Times New Roman" w:cs="Times New Roman"/>
                <w:b/>
                <w:sz w:val="18"/>
                <w:szCs w:val="18"/>
              </w:rPr>
              <w:t>5.2 Wycena przedsiębiorstw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5.2.1. Wycena przed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siębiorstw metodami majątkowymi.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5.2.2. Wycena przedsiębiors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tw metodami dochodowymi.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5.2.3. Wycena prze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dsiębiorstw metodami mieszanymi.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5.2.4. Wycena przedsiębiorstw innymi metodami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953D2" w:rsidRPr="004E6E0A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5.3. Finanse publiczne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.3.1. Środki publiczne, nadwyżka i deficyt sektora finansów publicznych.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5.3.2. Jednostki zaliczane do sektora finansów publicznych.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5.3.3. Ogólne zasady gospodarki finansowej jednoste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k sektora finansów publicznych.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5.3.4. System finansowy jednostek budżetowych, samorządowych zakładów budżetowych,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państwowych funduszy celowych, agencji wykonawczych i instytucji gospodarki budżetowej.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5.3.5. Budżet państwa i budżety jed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nostek samorządu terytorialnego.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5.3.6. System finansowego wspomagania gospodarki środkami z budżetu Unii Europejskiej.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5.3.7. System finansowania przedsięwzięć publiczno-prywatnych.</w:t>
            </w:r>
          </w:p>
          <w:p w:rsidR="000953D2" w:rsidRPr="004E6E0A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953D2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E6E0A">
              <w:rPr>
                <w:rFonts w:ascii="Times New Roman" w:hAnsi="Times New Roman" w:cs="Times New Roman"/>
                <w:b/>
                <w:sz w:val="18"/>
                <w:szCs w:val="18"/>
              </w:rPr>
              <w:t>5.4 Finanse banków i instytucji finansowych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5.4.1. System bankowy – bank centralny i jego funkcje, banki państwowe, banki w formie spółek akcyjnych, banki hipoteczne, banki zrzeszające, banki spółdzielcze, oddziały i przedstawicielstwa instytucji kredytowych oraz banków zagranicznych.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5.4.2. Rola Banku Gospodarstwa Krajowego.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5.4.3. Finansowe grupy kapitałowe, w tym międzynarodowe, konglomeraty finansowe oraz struktury holdingowe.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5.4.4. Spółdzielcze kasy oszczędnościowo-kredytowe.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5.4.5. Inne instytucje finansowe.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5.4.6. Fundusze własne, ich kategorie i struktura oraz wewnętrzne relacje. Sposoby wnoszenia i zaliczania poszczególnych instrumentów do odpowiednich kategorii funduszy. Tworzenie, przeznaczenie, wykorzystanie, inne operacje i pozycje wpływające na poziom funduszy własnych poszczególnych rodzajów podmiotów.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5.4.7. Proces szacowania kapitału wewnętrznego oraz dokonywania przez banki jego przeglądów. 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5.4.8. Zakres i zasady wyznaczania wymogów kapitałowych, w tym zakres i warunki stosowania metod statystycznych.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5.4.9. Bufory kapitałowe – uwarunkowania stosowania, zasady kalkulacji, normy regulacyjne.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5.4.10. Domiar kapitałowy – definicja oraz zakres stosowania. Obowiązujące normy kapitałowe, poszczególne składowe, ich poziom oraz sposób obliczania, w tym zasady kalkulacji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współczynnika wypłacalności.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5.4.11. System zarządzania ryzykiem banku oraz system kontroli wewnętrznej, jako elementy systemu zarządzania. 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5.4.12. Kategorie identyfikowanego ryzyka w działalności bankowej, wiążące normy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ostrożnościowe, określające dopuszczalne ryzyko w działalności banku oraz zakres ich stosowania.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5.4.13. Uwarunkowania procesu wyznaczania akceptowalnego poziomu ryzyka.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5.4.14. System identyfikacji, pomiaru, monitorowania i raportowania ryzyka w działalności banku oraz innych podmiotów finansowych działających na rynku regulowanym.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5.4.15. Zarządzanie aktywami i pasywami, struktura finansowania oraz alokacja środków z uwzględnieniem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uwarunkowań walutowych, terminowych, zmienności stóp procentowych oraz ryzyka kontrahenta.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5.4.16. Limity wewnętrzne, normy koncentracji oraz pozostałe normy regulacyjne.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5.4.17. Rodzaje operacji i instrumentów bankowych realizowanych na rachunek własny, jak i oferowanych klientom, w tym prowadzenie rachunków bankowych, udzielanie kredytów 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pożyczek, gwarancji bankowych, poręczeń i akredytyw, emisja bankowych papierów wartościowych, emisja listów zastawnych, rozliczenia pieniężne – wymagania regulacyjne.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5.4.18. Uczestnictwo podmiotów finansowych w systemie bezpieczeństwa. System gwarancji depozytów – aspekty finansowe oraz obowiązki informacyjne.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5.4.19. System rekompensat – aspekty finansowe.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5.4.20. Zasady partycypacji w finansowaniu systemu nadzoru.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5.4.21. Procesy restrukturyzacji oraz uporządkowanej likwidacji podmiotu finansowego – założenia, możliwe scenariusze, wykorzystywane mechanizmy. 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5.4.22. Odpowiedzialność oraz rola poszczególnych instytucji w procesach restrukturyzacji i uporządkowanej likwidacji.</w:t>
            </w:r>
          </w:p>
          <w:p w:rsidR="000953D2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953D2" w:rsidRPr="00E0395B" w:rsidRDefault="000953D2" w:rsidP="000953D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0395B">
              <w:rPr>
                <w:rFonts w:ascii="Times New Roman" w:hAnsi="Times New Roman" w:cs="Times New Roman"/>
                <w:b/>
                <w:sz w:val="18"/>
                <w:szCs w:val="18"/>
              </w:rPr>
              <w:t>5.5. Finanse zakładów ubezpieczeń i zakładów reasekuracji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5.1. System ubezpieczeń majątkowych i osobowych (formy organizacyjno-prawne prowadzenia działalności ubezpieczeniowej, istota i rodzaje ubezpieczeń).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5.5.2. Operacje w działalności ubezpieczeniowej.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5.5.3. Kapitał zakładowy oraz inne kapitały i fundusze specjalne zakładu ubezpieczeń i zakładu reasekuracji – tworzenie, przeznaczenie, wykorzystanie, inne operacje tymi kapitałami i funduszami.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5.5.4. Zasady lokowania środków finansowych przez zakład ubezpieczeń i zakład reasekuracji.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5.5.5. Ryzyko w działalności zakładu ubezpieczeń i zakładu reasekuracji. System zarządzania ryzykiem. Własna ocena ryzyka i wypłacalności. 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5.5.6. Reasekuracja i inne techniki przenoszenia ryzyka. System kontroli wewnętrznej. Funkcja audytu wewnętrznego. Funkcja aktuarialna. Funkcja zgodności z przepisami. Funkcja zarządzania ryzykiem.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5.5.7. Wypłacalność zakładu ubezpieczeń i zakładu reasekuracji. Rezerwy techniczno- ubezpieczeniowe dla celów wypłacalności i dla celów rachunkowości. Środki własne zakładu ubezpieczeń i zakładu reasekuracji. Klasyfikacja pozycji środków własnych. Wymagany poziom środków własnych.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5.5.8. Relacje określonych ustawowo rodzajów i kategorii środków własnych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(podstawowe środki własne, uzupełniające środki własne, dopuszczone środki własne) do określonych ustawowo wymogów wypłacalności (kapitałowy wymóg wypłacalności, minimalny wymóg kapitałowy, nieprzekraczalny dolny próg minimalnego wymogu kapitałowego).</w:t>
            </w:r>
          </w:p>
          <w:p w:rsidR="000953D2" w:rsidRPr="00D57E17" w:rsidRDefault="000953D2" w:rsidP="000953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5.5.9. Ubezpieczeniowy Fundusz Gwarancyjny – funkcje, zasady działania.</w:t>
            </w:r>
          </w:p>
          <w:p w:rsidR="000953D2" w:rsidRPr="004E6E0A" w:rsidRDefault="000953D2" w:rsidP="000953D2"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5.5.10. Inne instytucje rynku ubezpieczeniowego – aspekty finansowe.</w:t>
            </w:r>
          </w:p>
        </w:tc>
        <w:tc>
          <w:tcPr>
            <w:tcW w:w="3594" w:type="dxa"/>
          </w:tcPr>
          <w:p w:rsidR="000953D2" w:rsidRDefault="000953D2" w:rsidP="000953D2"/>
        </w:tc>
        <w:tc>
          <w:tcPr>
            <w:tcW w:w="3828" w:type="dxa"/>
          </w:tcPr>
          <w:p w:rsidR="000953D2" w:rsidRDefault="000953D2" w:rsidP="000953D2"/>
        </w:tc>
        <w:tc>
          <w:tcPr>
            <w:tcW w:w="3685" w:type="dxa"/>
          </w:tcPr>
          <w:p w:rsidR="000953D2" w:rsidRDefault="000953D2" w:rsidP="000953D2"/>
        </w:tc>
      </w:tr>
    </w:tbl>
    <w:p w:rsidR="00E11EBE" w:rsidRDefault="00E11EBE" w:rsidP="00E11EBE"/>
    <w:p w:rsidR="00501CD3" w:rsidRDefault="00501CD3"/>
    <w:sectPr w:rsidR="00501CD3" w:rsidSect="008972A1">
      <w:pgSz w:w="16838" w:h="11906" w:orient="landscape"/>
      <w:pgMar w:top="284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8DA" w:rsidRDefault="002918DA" w:rsidP="00E11EBE">
      <w:pPr>
        <w:spacing w:after="0" w:line="240" w:lineRule="auto"/>
      </w:pPr>
      <w:r>
        <w:separator/>
      </w:r>
    </w:p>
  </w:endnote>
  <w:endnote w:type="continuationSeparator" w:id="0">
    <w:p w:rsidR="002918DA" w:rsidRDefault="002918DA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8DA" w:rsidRDefault="002918DA" w:rsidP="00E11EBE">
      <w:pPr>
        <w:spacing w:after="0" w:line="240" w:lineRule="auto"/>
      </w:pPr>
      <w:r>
        <w:separator/>
      </w:r>
    </w:p>
  </w:footnote>
  <w:footnote w:type="continuationSeparator" w:id="0">
    <w:p w:rsidR="002918DA" w:rsidRDefault="002918DA" w:rsidP="00E11EBE">
      <w:pPr>
        <w:spacing w:after="0" w:line="240" w:lineRule="auto"/>
      </w:pPr>
      <w:r>
        <w:continuationSeparator/>
      </w:r>
    </w:p>
  </w:footnote>
  <w:footnote w:id="1">
    <w:p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:rsidR="00E11EBE" w:rsidRDefault="00E11EBE" w:rsidP="00E11EBE">
      <w:pPr>
        <w:pStyle w:val="Tekstprzypisudolnego"/>
      </w:pPr>
    </w:p>
  </w:footnote>
  <w:footnote w:id="2">
    <w:p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EBE"/>
    <w:rsid w:val="00026EE8"/>
    <w:rsid w:val="00082E38"/>
    <w:rsid w:val="000953D2"/>
    <w:rsid w:val="001108B5"/>
    <w:rsid w:val="00123F07"/>
    <w:rsid w:val="00273743"/>
    <w:rsid w:val="002918DA"/>
    <w:rsid w:val="00501CD3"/>
    <w:rsid w:val="007B76A4"/>
    <w:rsid w:val="008921AD"/>
    <w:rsid w:val="008972A1"/>
    <w:rsid w:val="00973BB9"/>
    <w:rsid w:val="0098742F"/>
    <w:rsid w:val="00A67630"/>
    <w:rsid w:val="00AB2F8C"/>
    <w:rsid w:val="00AC0C54"/>
    <w:rsid w:val="00CB641A"/>
    <w:rsid w:val="00D34CC1"/>
    <w:rsid w:val="00D35757"/>
    <w:rsid w:val="00E11EBE"/>
    <w:rsid w:val="00E71DD2"/>
    <w:rsid w:val="00EA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33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337F57-AAC3-4D43-811F-CE0D16B19E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1073</Words>
  <Characters>6442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jlabecka</cp:lastModifiedBy>
  <cp:revision>5</cp:revision>
  <cp:lastPrinted>2022-08-04T12:22:00Z</cp:lastPrinted>
  <dcterms:created xsi:type="dcterms:W3CDTF">2022-10-21T13:00:00Z</dcterms:created>
  <dcterms:modified xsi:type="dcterms:W3CDTF">2022-10-24T12:53:00Z</dcterms:modified>
</cp:coreProperties>
</file>